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center"/>
        <w:rPr>
          <w:rFonts w:ascii="黑体" w:hAnsi="黑体" w:eastAsia="黑体" w:cs="Times New Roman"/>
          <w:b/>
          <w:bCs/>
          <w:color w:val="000000"/>
          <w:kern w:val="0"/>
          <w:sz w:val="44"/>
          <w:szCs w:val="44"/>
        </w:rPr>
      </w:pPr>
      <w:bookmarkStart w:id="0" w:name="_GoBack"/>
      <w:bookmarkEnd w:id="0"/>
      <w:r>
        <w:rPr>
          <w:rFonts w:ascii="黑体" w:hAnsi="黑体" w:eastAsia="黑体" w:cs="Times New Roman"/>
          <w:b/>
          <w:bCs/>
          <w:color w:val="000000"/>
          <w:kern w:val="0"/>
          <w:sz w:val="44"/>
          <w:szCs w:val="44"/>
        </w:rPr>
        <w:fldChar w:fldCharType="begin"/>
      </w:r>
      <w:r>
        <w:rPr>
          <w:rFonts w:ascii="黑体" w:hAnsi="黑体" w:eastAsia="黑体" w:cs="Times New Roman"/>
          <w:b/>
          <w:bCs/>
          <w:color w:val="000000"/>
          <w:kern w:val="0"/>
          <w:sz w:val="44"/>
          <w:szCs w:val="44"/>
        </w:rPr>
        <w:instrText xml:space="preserve">MERGEFIELD ${page400644146.ds509943833_REP_JXJC_AGENCY_WZR_NAME}</w:instrText>
      </w:r>
      <w:r>
        <w:rPr>
          <w:rFonts w:ascii="黑体" w:hAnsi="黑体" w:eastAsia="黑体" w:cs="Times New Roman"/>
          <w:b/>
          <w:bCs/>
          <w:color w:val="000000"/>
          <w:kern w:val="0"/>
          <w:sz w:val="44"/>
          <w:szCs w:val="44"/>
        </w:rPr>
        <w:fldChar w:fldCharType="separate"/>
      </w:r>
      <w:r>
        <w:rPr>
          <w:rFonts w:ascii="黑体" w:hAnsi="黑体" w:eastAsia="黑体" w:cs="Times New Roman"/>
          <w:b/>
          <w:bCs/>
          <w:color w:val="000000"/>
          <w:kern w:val="0"/>
          <w:sz w:val="44"/>
          <w:szCs w:val="44"/>
        </w:rPr>
        <w:t>江西经济管理干部学院</w:t>
      </w:r>
      <w:r>
        <w:fldChar w:fldCharType="end"/>
      </w:r>
      <w:r>
        <w:rPr>
          <w:rFonts w:hint="eastAsia" w:ascii="黑体" w:hAnsi="黑体" w:eastAsia="黑体" w:cs="Times New Roman"/>
          <w:b/>
          <w:bCs/>
          <w:color w:val="000000"/>
          <w:kern w:val="0"/>
          <w:sz w:val="44"/>
          <w:szCs w:val="44"/>
        </w:rPr>
        <w:t>2022年</w:t>
      </w:r>
      <w:r>
        <w:rPr>
          <w:rFonts w:hint="eastAsia" w:ascii="黑体" w:hAnsi="黑体" w:eastAsia="黑体" w:cs="Times New Roman"/>
          <w:b/>
          <w:bCs/>
          <w:color w:val="000000"/>
          <w:kern w:val="0"/>
          <w:sz w:val="44"/>
          <w:szCs w:val="44"/>
          <w:lang w:eastAsia="zh-CN"/>
        </w:rPr>
        <w:t>本级</w:t>
      </w:r>
      <w:r>
        <w:rPr>
          <w:rFonts w:hint="eastAsia" w:ascii="黑体" w:hAnsi="黑体" w:eastAsia="黑体" w:cs="Times New Roman"/>
          <w:b/>
          <w:bCs/>
          <w:color w:val="000000"/>
          <w:kern w:val="0"/>
          <w:sz w:val="44"/>
          <w:szCs w:val="44"/>
        </w:rPr>
        <w:t>部门预算</w:t>
      </w:r>
    </w:p>
    <w:p>
      <w:pPr>
        <w:pStyle w:val="11"/>
        <w:spacing w:line="600" w:lineRule="atLeast"/>
        <w:jc w:val="center"/>
        <w:rPr>
          <w:rFonts w:ascii="黑体" w:hAnsi="黑体" w:eastAsia="黑体"/>
          <w:color w:val="000000"/>
          <w:sz w:val="32"/>
          <w:szCs w:val="32"/>
        </w:rPr>
      </w:pPr>
    </w:p>
    <w:p>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1"/>
        <w:rPr>
          <w:rFonts w:ascii="宋体" w:hAnsi="宋体"/>
          <w:color w:val="000000"/>
        </w:rPr>
      </w:pPr>
    </w:p>
    <w:p>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ascii="仿宋_GB2312" w:eastAsia="仿宋_GB2312"/>
          <w:b/>
          <w:bCs/>
          <w:color w:val="000000"/>
          <w:sz w:val="32"/>
          <w:szCs w:val="32"/>
        </w:rPr>
        <w:t>江西经济管理干部学院</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ascii="仿宋_GB2312" w:eastAsia="仿宋_GB2312"/>
          <w:b/>
          <w:bCs/>
          <w:color w:val="000000"/>
          <w:sz w:val="32"/>
          <w:szCs w:val="32"/>
        </w:rPr>
        <w:t>江西经济管理干部学院</w:t>
      </w:r>
      <w:r>
        <w:fldChar w:fldCharType="end"/>
      </w:r>
      <w:r>
        <w:rPr>
          <w:rFonts w:hint="eastAsia" w:ascii="仿宋_GB2312" w:eastAsia="仿宋_GB2312"/>
          <w:b/>
          <w:bCs/>
          <w:color w:val="000000"/>
          <w:sz w:val="32"/>
          <w:szCs w:val="32"/>
        </w:rPr>
        <w:t>2022年部门预算表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七、《一般公共预算“三公”经费支出表》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重点项目绩效目标表</w:t>
      </w:r>
      <w:r>
        <w:rPr>
          <w:rFonts w:ascii="Adobe 仿宋 Std R" w:hAnsi="Adobe 仿宋 Std R" w:eastAsia="Adobe 仿宋 Std R" w:cstheme="minorBidi"/>
          <w:kern w:val="2"/>
          <w:sz w:val="32"/>
          <w:szCs w:val="30"/>
        </w:rPr>
        <w:t>》</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ascii="仿宋_GB2312" w:eastAsia="仿宋_GB2312"/>
          <w:b/>
          <w:bCs/>
          <w:color w:val="000000"/>
          <w:sz w:val="32"/>
          <w:szCs w:val="32"/>
        </w:rPr>
        <w:t>江西经济管理干部学院</w:t>
      </w:r>
      <w:r>
        <w:fldChar w:fldCharType="end"/>
      </w:r>
      <w:r>
        <w:rPr>
          <w:rFonts w:hint="eastAsia" w:ascii="仿宋_GB2312" w:eastAsia="仿宋_GB2312"/>
          <w:b/>
          <w:bCs/>
          <w:color w:val="000000"/>
          <w:sz w:val="32"/>
          <w:szCs w:val="32"/>
        </w:rPr>
        <w:t xml:space="preserve"> 2022年部门预算情况说明</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rPr>
        <w:t>2</w:t>
      </w:r>
      <w:r>
        <w:rPr>
          <w:rFonts w:ascii="Adobe 仿宋 Std R" w:hAnsi="Adobe 仿宋 Std R" w:eastAsia="Adobe 仿宋 Std R" w:cstheme="minorBidi"/>
          <w:kern w:val="2"/>
          <w:sz w:val="32"/>
          <w:szCs w:val="30"/>
        </w:rPr>
        <w:t>年部门预算收支情况说明</w:t>
      </w:r>
    </w:p>
    <w:p>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rPr>
        <w:t>2</w:t>
      </w:r>
      <w:r>
        <w:rPr>
          <w:rFonts w:ascii="Adobe 仿宋 Std R" w:hAnsi="Adobe 仿宋 Std R" w:eastAsia="Adobe 仿宋 Std R" w:cstheme="minorBidi"/>
          <w:kern w:val="2"/>
          <w:sz w:val="32"/>
          <w:szCs w:val="30"/>
        </w:rPr>
        <w:t>年“三公”经费预算情况说明</w:t>
      </w:r>
    </w:p>
    <w:p>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ascii="仿宋_GB2312" w:eastAsia="仿宋_GB2312"/>
          <w:b/>
          <w:sz w:val="32"/>
          <w:szCs w:val="30"/>
        </w:rPr>
        <w:t>江西经济管理干部学院</w:t>
      </w:r>
      <w:r>
        <w:fldChar w:fldCharType="end"/>
      </w:r>
      <w:r>
        <w:rPr>
          <w:rFonts w:hint="eastAsia" w:ascii="仿宋_GB2312" w:eastAsia="仿宋_GB2312"/>
          <w:b/>
          <w:sz w:val="32"/>
          <w:szCs w:val="30"/>
        </w:rPr>
        <w:t>概况</w:t>
      </w:r>
    </w:p>
    <w:p>
      <w:pPr>
        <w:widowControl/>
        <w:spacing w:line="580" w:lineRule="exact"/>
        <w:jc w:val="left"/>
        <w:rPr>
          <w:rFonts w:asciiTheme="minorEastAsia" w:hAnsiTheme="minorEastAsia"/>
          <w:b/>
          <w:sz w:val="36"/>
          <w:szCs w:val="36"/>
        </w:rPr>
      </w:pPr>
    </w:p>
    <w:p>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江西经济管理干部学院成立于1984年6月，是省政府直属事业单位，也是一所集领导干部经济管理知识和企业高层管理人员工商管理知识培训、普通高等学历教育和成人学历教育于一体的教育事业单位。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根据赣府发[2001]16号文件规定我院的主要职责是: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（一）根据省委组织部的安排和要求，结合实际工作，对县、处级以上党政领导干部进行经济理论和经济管理知识等方面的培训。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（二）以工商管理培训为重点，组织开展省重点企业及各经济类型和大中小各个层次企业经营管理人员的培训。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（三）积极开展国内、国际合作培训，促进合作培训的消化吸收和成果转化。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（四）围绕经济发展和经济管理中的重点问题，开展科研活动，为区域经济发展和企业提供经营管理、发展战略等方面的咨询和信息服务。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（五）承担省教育主管部门计划的成人教育、高等学历教育。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（六）承办省政府交办的其他事项。</w:t>
      </w:r>
    </w:p>
    <w:p>
      <w:pPr>
        <w:rPr>
          <w:b/>
          <w:sz w:val="36"/>
          <w:szCs w:val="36"/>
        </w:rPr>
      </w:pPr>
      <w:r>
        <w:rPr>
          <w:rFonts w:hint="eastAsia"/>
          <w:b/>
          <w:sz w:val="36"/>
          <w:szCs w:val="36"/>
        </w:rPr>
        <w:t>二、机构设置及人员情况</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Cs w:val="30"/>
        </w:rPr>
      </w:pPr>
      <w:r>
        <w:rPr>
          <w:rFonts w:hint="eastAsia" w:ascii="仿宋" w:hAnsi="仿宋" w:eastAsia="仿宋" w:cs="仿宋"/>
          <w:sz w:val="32"/>
          <w:szCs w:val="32"/>
        </w:rPr>
        <w:t>2022年</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${page540426799.ds254512694_REP_JXJC_AGENCY_WZR_NAME}</w:instrText>
      </w:r>
      <w:r>
        <w:rPr>
          <w:rFonts w:hint="eastAsia" w:ascii="仿宋" w:hAnsi="仿宋" w:eastAsia="仿宋" w:cs="仿宋"/>
          <w:sz w:val="32"/>
          <w:szCs w:val="32"/>
        </w:rPr>
        <w:fldChar w:fldCharType="separate"/>
      </w:r>
      <w:r>
        <w:rPr>
          <w:rFonts w:hint="eastAsia" w:ascii="仿宋" w:hAnsi="仿宋" w:eastAsia="仿宋" w:cs="仿宋"/>
          <w:sz w:val="32"/>
          <w:szCs w:val="32"/>
        </w:rPr>
        <w:t>江西经济管理干部学院</w:t>
      </w:r>
      <w:r>
        <w:rPr>
          <w:rFonts w:hint="eastAsia" w:ascii="仿宋" w:hAnsi="仿宋" w:eastAsia="仿宋" w:cs="仿宋"/>
          <w:sz w:val="32"/>
          <w:szCs w:val="32"/>
        </w:rPr>
        <w:fldChar w:fldCharType="end"/>
      </w:r>
      <w:r>
        <w:rPr>
          <w:rFonts w:hint="eastAsia" w:ascii="仿宋" w:hAnsi="仿宋" w:eastAsia="仿宋" w:cs="仿宋"/>
          <w:sz w:val="32"/>
          <w:szCs w:val="32"/>
        </w:rPr>
        <w:t>内设机构26个：（1）职能部门：党政办公室、组织人事部、宣传部、教务处、培训处、科研处、学生工作处（团委）、财务处、保卫处、总务处、招生就业处、资产管理处、发展规划处、工会、图书馆、信息中心、江西现代服务业发展研究院；（2）教学部门：财务与金融学院、电子与信息工程学院、飞行技术学院（航空工程学院）、工商管</w:t>
      </w:r>
      <w:r>
        <w:rPr>
          <w:rFonts w:hint="eastAsia" w:ascii="仿宋" w:hAnsi="仿宋" w:eastAsia="仿宋"/>
          <w:sz w:val="32"/>
          <w:szCs w:val="32"/>
        </w:rPr>
        <w:t>理学院、航空运动学院、机场学院、马克思主义教育学院、文法学院、创业教育学院。</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编制人数小计550人,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全部补助事业编制人数550人。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实有人数小计517人,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在职人数小计400人,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全部补助事业在职人数400人。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退休人数小计112人,退职人员2人,遗属人数3人。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${page540426799.ds376136392_REP_JX_BAS_AGENCY_INFO_DXQRSDW_S_ZXXSMX}</w:instrText>
      </w:r>
      <w:r>
        <w:rPr>
          <w:rFonts w:ascii="仿宋" w:hAnsi="仿宋" w:eastAsia="仿宋"/>
          <w:sz w:val="32"/>
          <w:szCs w:val="32"/>
        </w:rPr>
        <w:fldChar w:fldCharType="separate"/>
      </w:r>
      <w:r>
        <w:rPr>
          <w:rFonts w:ascii="仿宋" w:hAnsi="仿宋" w:eastAsia="仿宋"/>
          <w:sz w:val="32"/>
          <w:szCs w:val="32"/>
        </w:rPr>
        <w:t>在校学生3882人,其中：本科生人数4人，专科生人数3878人。</w:t>
      </w:r>
      <w:r>
        <w:fldChar w:fldCharType="end"/>
      </w:r>
    </w:p>
    <w:p>
      <w:pPr>
        <w:widowControl/>
        <w:spacing w:line="580" w:lineRule="exact"/>
        <w:jc w:val="center"/>
        <w:rPr>
          <w:rFonts w:hint="eastAsia"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ascii="仿宋_GB2312" w:eastAsia="仿宋_GB2312"/>
          <w:b/>
          <w:sz w:val="32"/>
          <w:szCs w:val="30"/>
        </w:rPr>
        <w:t>江西经济管理干部学院</w:t>
      </w:r>
      <w:r>
        <w:fldChar w:fldCharType="end"/>
      </w:r>
      <w:r>
        <w:rPr>
          <w:rFonts w:hint="eastAsia" w:ascii="仿宋_GB2312" w:eastAsia="仿宋_GB2312"/>
          <w:b/>
          <w:sz w:val="32"/>
          <w:szCs w:val="30"/>
        </w:rPr>
        <w:t>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0"/>
          <w:rFonts w:ascii="仿宋" w:hAnsi="仿宋" w:eastAsia="仿宋"/>
          <w:bCs/>
          <w:sz w:val="32"/>
          <w:szCs w:val="32"/>
        </w:rPr>
      </w:pPr>
    </w:p>
    <w:p>
      <w:pPr>
        <w:ind w:firstLine="640" w:firstLineChars="200"/>
        <w:jc w:val="left"/>
        <w:rPr>
          <w:rStyle w:val="10"/>
          <w:rFonts w:ascii="仿宋" w:hAnsi="仿宋" w:eastAsia="仿宋"/>
          <w:bCs/>
          <w:sz w:val="32"/>
          <w:szCs w:val="32"/>
        </w:rPr>
      </w:pPr>
    </w:p>
    <w:p>
      <w:pPr>
        <w:ind w:firstLine="640" w:firstLineChars="200"/>
        <w:jc w:val="left"/>
        <w:rPr>
          <w:rStyle w:val="10"/>
          <w:rFonts w:ascii="仿宋" w:hAnsi="仿宋" w:eastAsia="仿宋"/>
          <w:bCs/>
          <w:sz w:val="32"/>
          <w:szCs w:val="32"/>
        </w:rPr>
      </w:pPr>
    </w:p>
    <w:p>
      <w:pPr>
        <w:jc w:val="left"/>
        <w:rPr>
          <w:rStyle w:val="10"/>
          <w:rFonts w:ascii="仿宋" w:hAnsi="仿宋" w:eastAsia="仿宋"/>
          <w:bCs/>
          <w:sz w:val="32"/>
          <w:szCs w:val="32"/>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ascii="仿宋_GB2312" w:eastAsia="仿宋_GB2312"/>
          <w:b/>
          <w:sz w:val="32"/>
          <w:szCs w:val="30"/>
        </w:rPr>
        <w:t>江西经济管理干部学院</w:t>
      </w:r>
      <w:r>
        <w:fldChar w:fldCharType="end"/>
      </w:r>
      <w:r>
        <w:rPr>
          <w:rFonts w:hint="eastAsia" w:ascii="仿宋_GB2312" w:eastAsia="仿宋_GB2312"/>
          <w:b/>
          <w:sz w:val="32"/>
          <w:szCs w:val="30"/>
        </w:rPr>
        <w:t>2022年部门预算情况说明</w:t>
      </w:r>
    </w:p>
    <w:p>
      <w:pPr>
        <w:widowControl/>
        <w:spacing w:line="580" w:lineRule="exact"/>
        <w:jc w:val="center"/>
        <w:rPr>
          <w:rFonts w:ascii="仿宋_GB2312" w:eastAsia="仿宋_GB2312"/>
          <w:b/>
          <w:sz w:val="32"/>
          <w:szCs w:val="30"/>
        </w:rPr>
      </w:pPr>
    </w:p>
    <w:p>
      <w:pPr>
        <w:widowControl/>
        <w:spacing w:line="580" w:lineRule="exact"/>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2022</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${page400644146.ds509943833_REP_JXJC_AGENCY_WZR_NAME}</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江西经济管理干部学院</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收入预算总额为18836.22万元,较上年预算安排减少</w:t>
      </w:r>
      <w:r>
        <w:rPr>
          <w:rFonts w:hint="eastAsia" w:ascii="仿宋" w:hAnsi="仿宋" w:eastAsia="仿宋" w:cs="Times New Roman"/>
          <w:kern w:val="0"/>
          <w:sz w:val="32"/>
          <w:szCs w:val="32"/>
          <w:lang w:val="en-US" w:eastAsia="zh-CN"/>
        </w:rPr>
        <w:t>5898.48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财政拨款收入9693.44万元,较上年预算安排增加</w:t>
      </w:r>
      <w:r>
        <w:rPr>
          <w:rFonts w:hint="eastAsia" w:ascii="仿宋" w:hAnsi="仿宋" w:eastAsia="仿宋" w:cs="Times New Roman"/>
          <w:kern w:val="0"/>
          <w:sz w:val="32"/>
          <w:szCs w:val="32"/>
          <w:lang w:val="en-US" w:eastAsia="zh-CN"/>
        </w:rPr>
        <w:t>152.84</w:t>
      </w:r>
      <w:r>
        <w:rPr>
          <w:rFonts w:ascii="仿宋" w:hAnsi="仿宋" w:eastAsia="仿宋" w:cs="Times New Roman"/>
          <w:kern w:val="0"/>
          <w:sz w:val="32"/>
          <w:szCs w:val="32"/>
        </w:rPr>
        <w:t>万元;教育收费资金收入8753.78万元,较上年预算安排增加</w:t>
      </w:r>
      <w:r>
        <w:rPr>
          <w:rFonts w:hint="eastAsia" w:ascii="仿宋" w:hAnsi="仿宋" w:eastAsia="仿宋" w:cs="Times New Roman"/>
          <w:kern w:val="0"/>
          <w:sz w:val="32"/>
          <w:szCs w:val="32"/>
          <w:lang w:val="en-US" w:eastAsia="zh-CN"/>
        </w:rPr>
        <w:t>788.64</w:t>
      </w:r>
      <w:r>
        <w:rPr>
          <w:rFonts w:ascii="仿宋" w:hAnsi="仿宋" w:eastAsia="仿宋" w:cs="Times New Roman"/>
          <w:kern w:val="0"/>
          <w:sz w:val="32"/>
          <w:szCs w:val="32"/>
        </w:rPr>
        <w:t>万元;事业收入150万元,较上年预算安排</w:t>
      </w:r>
      <w:r>
        <w:rPr>
          <w:rFonts w:hint="eastAsia" w:ascii="仿宋" w:hAnsi="仿宋" w:eastAsia="仿宋" w:cs="Times New Roman"/>
          <w:kern w:val="0"/>
          <w:sz w:val="32"/>
          <w:szCs w:val="32"/>
          <w:lang w:eastAsia="zh-CN"/>
        </w:rPr>
        <w:t>增加</w:t>
      </w:r>
      <w:r>
        <w:rPr>
          <w:rFonts w:hint="eastAsia" w:ascii="仿宋" w:hAnsi="仿宋" w:eastAsia="仿宋" w:cs="Times New Roman"/>
          <w:kern w:val="0"/>
          <w:sz w:val="32"/>
          <w:szCs w:val="32"/>
          <w:lang w:val="en-US" w:eastAsia="zh-CN"/>
        </w:rPr>
        <w:t>150</w:t>
      </w:r>
      <w:r>
        <w:rPr>
          <w:rFonts w:ascii="仿宋" w:hAnsi="仿宋" w:eastAsia="仿宋" w:cs="Times New Roman"/>
          <w:kern w:val="0"/>
          <w:sz w:val="32"/>
          <w:szCs w:val="32"/>
        </w:rPr>
        <w:t>万元;国库集中支付网上结转189万元,较上年预算安排减少</w:t>
      </w:r>
      <w:r>
        <w:rPr>
          <w:rFonts w:hint="eastAsia" w:ascii="仿宋" w:hAnsi="仿宋" w:eastAsia="仿宋" w:cs="Times New Roman"/>
          <w:kern w:val="0"/>
          <w:sz w:val="32"/>
          <w:szCs w:val="32"/>
          <w:lang w:val="en-US" w:eastAsia="zh-CN"/>
        </w:rPr>
        <w:t>6848.56</w:t>
      </w:r>
      <w:r>
        <w:rPr>
          <w:rFonts w:ascii="仿宋" w:hAnsi="仿宋" w:eastAsia="仿宋" w:cs="Times New Roman"/>
          <w:kern w:val="0"/>
          <w:sz w:val="32"/>
          <w:szCs w:val="32"/>
        </w:rPr>
        <w:t>万元;其他资金（结转结余）50万元,较上年预算安排减少</w:t>
      </w:r>
      <w:r>
        <w:rPr>
          <w:rFonts w:hint="eastAsia" w:ascii="仿宋" w:hAnsi="仿宋" w:eastAsia="仿宋" w:cs="Times New Roman"/>
          <w:kern w:val="0"/>
          <w:sz w:val="32"/>
          <w:szCs w:val="32"/>
          <w:lang w:val="en-US" w:eastAsia="zh-CN"/>
        </w:rPr>
        <w:t>141.4</w:t>
      </w:r>
      <w:r>
        <w:rPr>
          <w:rFonts w:ascii="仿宋" w:hAnsi="仿宋" w:eastAsia="仿宋" w:cs="Times New Roman"/>
          <w:kern w:val="0"/>
          <w:sz w:val="32"/>
          <w:szCs w:val="32"/>
        </w:rPr>
        <w:t>万元。</w:t>
      </w:r>
      <w:r>
        <w:fldChar w:fldCharType="end"/>
      </w:r>
    </w:p>
    <w:p>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pPr>
        <w:ind w:firstLine="640" w:firstLineChars="200"/>
        <w:rPr>
          <w:rStyle w:val="10"/>
          <w:rFonts w:ascii="仿宋" w:hAnsi="仿宋" w:eastAsia="仿宋"/>
          <w:sz w:val="32"/>
          <w:szCs w:val="32"/>
        </w:rPr>
      </w:pPr>
      <w:r>
        <w:rPr>
          <w:rStyle w:val="10"/>
          <w:rFonts w:hint="eastAsia" w:ascii="仿宋" w:hAnsi="仿宋" w:eastAsia="仿宋"/>
          <w:sz w:val="32"/>
          <w:szCs w:val="32"/>
        </w:rPr>
        <w:t>2</w:t>
      </w:r>
      <w:r>
        <w:rPr>
          <w:rStyle w:val="10"/>
          <w:rFonts w:ascii="仿宋" w:hAnsi="仿宋" w:eastAsia="仿宋"/>
          <w:sz w:val="32"/>
          <w:szCs w:val="32"/>
        </w:rPr>
        <w:t>022</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${page400644146.ds215660413_REP_JXJC_AGENCY_WZR_NAME}</w:instrText>
      </w:r>
      <w:r>
        <w:rPr>
          <w:rStyle w:val="10"/>
          <w:rFonts w:ascii="仿宋" w:hAnsi="仿宋" w:eastAsia="仿宋"/>
          <w:sz w:val="32"/>
          <w:szCs w:val="32"/>
        </w:rPr>
        <w:fldChar w:fldCharType="separate"/>
      </w:r>
      <w:r>
        <w:rPr>
          <w:rStyle w:val="10"/>
          <w:rFonts w:ascii="仿宋" w:hAnsi="仿宋" w:eastAsia="仿宋"/>
          <w:sz w:val="32"/>
          <w:szCs w:val="32"/>
        </w:rPr>
        <w:t>江西经济管理干部学院</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支出预算总额为18836.22万元,较上年预算安排减少</w:t>
      </w:r>
      <w:r>
        <w:rPr>
          <w:rStyle w:val="10"/>
          <w:rFonts w:hint="eastAsia" w:ascii="仿宋" w:hAnsi="仿宋" w:eastAsia="仿宋"/>
          <w:sz w:val="32"/>
          <w:szCs w:val="32"/>
          <w:lang w:val="en-US" w:eastAsia="zh-CN"/>
        </w:rPr>
        <w:t>5898.48</w:t>
      </w:r>
      <w:r>
        <w:rPr>
          <w:rStyle w:val="10"/>
          <w:rFonts w:ascii="仿宋" w:hAnsi="仿宋" w:eastAsia="仿宋"/>
          <w:sz w:val="32"/>
          <w:szCs w:val="32"/>
        </w:rPr>
        <w:t>万元;</w:t>
      </w:r>
      <w:r>
        <w:fldChar w:fldCharType="end"/>
      </w:r>
      <w:r>
        <w:rPr>
          <w:rStyle w:val="10"/>
          <w:rFonts w:hint="eastAsia" w:ascii="仿宋" w:hAnsi="仿宋" w:eastAsia="仿宋"/>
          <w:sz w:val="32"/>
          <w:szCs w:val="32"/>
        </w:rPr>
        <w:t>其中：</w:t>
      </w:r>
    </w:p>
    <w:p>
      <w:pPr>
        <w:ind w:firstLine="640" w:firstLineChars="200"/>
        <w:rPr>
          <w:rStyle w:val="10"/>
          <w:rFonts w:ascii="仿宋" w:hAnsi="仿宋" w:eastAsia="仿宋"/>
          <w:sz w:val="32"/>
          <w:szCs w:val="32"/>
        </w:rPr>
      </w:pPr>
      <w:r>
        <w:rPr>
          <w:rStyle w:val="10"/>
          <w:rFonts w:hint="eastAsia" w:ascii="仿宋" w:hAnsi="仿宋" w:eastAsia="仿宋"/>
          <w:sz w:val="32"/>
          <w:szCs w:val="32"/>
        </w:rPr>
        <w:t>按支出项目类别划分：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Style w:val="10"/>
          <w:rFonts w:ascii="仿宋" w:hAnsi="仿宋" w:eastAsia="仿宋"/>
          <w:sz w:val="32"/>
          <w:szCs w:val="32"/>
        </w:rPr>
        <w:fldChar w:fldCharType="separate"/>
      </w:r>
      <w:r>
        <w:rPr>
          <w:rStyle w:val="10"/>
          <w:rFonts w:ascii="仿宋" w:hAnsi="仿宋" w:eastAsia="仿宋"/>
          <w:sz w:val="32"/>
          <w:szCs w:val="32"/>
        </w:rPr>
        <w:t>基本支出15368.57万元,较上年预算安排减少</w:t>
      </w:r>
      <w:r>
        <w:rPr>
          <w:rStyle w:val="10"/>
          <w:rFonts w:hint="eastAsia" w:ascii="仿宋" w:hAnsi="仿宋" w:eastAsia="仿宋"/>
          <w:sz w:val="32"/>
          <w:szCs w:val="32"/>
          <w:lang w:val="en-US" w:eastAsia="zh-CN"/>
        </w:rPr>
        <w:t>69.53</w:t>
      </w:r>
      <w:r>
        <w:rPr>
          <w:rStyle w:val="10"/>
          <w:rFonts w:ascii="仿宋" w:hAnsi="仿宋" w:eastAsia="仿宋"/>
          <w:sz w:val="32"/>
          <w:szCs w:val="32"/>
        </w:rPr>
        <w:t>万元;其中：工资福利支出11378.05万元,商品和服务支出2478.52万元,对个人和家庭的补助793.11万元,资本性支出718.89万元。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Style w:val="10"/>
          <w:rFonts w:ascii="仿宋" w:hAnsi="仿宋" w:eastAsia="仿宋"/>
          <w:sz w:val="32"/>
          <w:szCs w:val="32"/>
        </w:rPr>
        <w:fldChar w:fldCharType="separate"/>
      </w:r>
      <w:r>
        <w:rPr>
          <w:rStyle w:val="10"/>
          <w:rFonts w:ascii="仿宋" w:hAnsi="仿宋" w:eastAsia="仿宋"/>
          <w:sz w:val="32"/>
          <w:szCs w:val="32"/>
        </w:rPr>
        <w:t>项目支出3467.65万元,较上年预算安排减少</w:t>
      </w:r>
      <w:r>
        <w:rPr>
          <w:rStyle w:val="10"/>
          <w:rFonts w:hint="eastAsia" w:ascii="仿宋" w:hAnsi="仿宋" w:eastAsia="仿宋"/>
          <w:sz w:val="32"/>
          <w:szCs w:val="32"/>
          <w:lang w:val="en-US" w:eastAsia="zh-CN"/>
        </w:rPr>
        <w:t>5828.95</w:t>
      </w:r>
      <w:r>
        <w:rPr>
          <w:rStyle w:val="10"/>
          <w:rFonts w:ascii="仿宋" w:hAnsi="仿宋" w:eastAsia="仿宋"/>
          <w:sz w:val="32"/>
          <w:szCs w:val="32"/>
        </w:rPr>
        <w:t>万元;其中：商品和服务支出1746.43万元,对个人和家庭的补助469.84万元,资本性支出891.18万元,其他支出360.2万元。</w:t>
      </w:r>
      <w:r>
        <w:fldChar w:fldCharType="end"/>
      </w:r>
    </w:p>
    <w:p>
      <w:pPr>
        <w:ind w:firstLine="640" w:firstLineChars="200"/>
        <w:rPr>
          <w:rStyle w:val="10"/>
          <w:rFonts w:ascii="仿宋" w:hAnsi="仿宋" w:eastAsia="仿宋"/>
          <w:sz w:val="32"/>
          <w:szCs w:val="32"/>
        </w:rPr>
      </w:pPr>
      <w:r>
        <w:rPr>
          <w:rStyle w:val="10"/>
          <w:rFonts w:hint="eastAsia" w:ascii="仿宋" w:hAnsi="仿宋" w:eastAsia="仿宋"/>
          <w:sz w:val="32"/>
          <w:szCs w:val="32"/>
        </w:rPr>
        <w:t>按支出功能科目划分：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${page400644146.ds247441498_REP_BGT_T_HC1100002019DXQ01_GNZJMX}</w:instrText>
      </w:r>
      <w:r>
        <w:rPr>
          <w:rStyle w:val="10"/>
          <w:rFonts w:ascii="仿宋" w:hAnsi="仿宋" w:eastAsia="仿宋"/>
          <w:sz w:val="32"/>
          <w:szCs w:val="32"/>
        </w:rPr>
        <w:fldChar w:fldCharType="separate"/>
      </w:r>
      <w:r>
        <w:rPr>
          <w:rStyle w:val="10"/>
          <w:rFonts w:ascii="仿宋" w:hAnsi="仿宋" w:eastAsia="仿宋"/>
          <w:sz w:val="32"/>
          <w:szCs w:val="32"/>
        </w:rPr>
        <w:t>教育支出18650.22万元,较上年预算安排减少</w:t>
      </w:r>
      <w:r>
        <w:rPr>
          <w:rStyle w:val="10"/>
          <w:rFonts w:hint="eastAsia" w:ascii="仿宋" w:hAnsi="仿宋" w:eastAsia="仿宋"/>
          <w:sz w:val="32"/>
          <w:szCs w:val="32"/>
          <w:lang w:val="en-US" w:eastAsia="zh-CN"/>
        </w:rPr>
        <w:t>6045.18</w:t>
      </w:r>
      <w:r>
        <w:rPr>
          <w:rStyle w:val="10"/>
          <w:rFonts w:ascii="仿宋" w:hAnsi="仿宋" w:eastAsia="仿宋"/>
          <w:sz w:val="32"/>
          <w:szCs w:val="32"/>
        </w:rPr>
        <w:t>万元;文化旅游体育与传媒支出80万元,较上年预算安排增加</w:t>
      </w:r>
      <w:r>
        <w:rPr>
          <w:rStyle w:val="10"/>
          <w:rFonts w:hint="eastAsia" w:ascii="仿宋" w:hAnsi="仿宋" w:eastAsia="仿宋"/>
          <w:sz w:val="32"/>
          <w:szCs w:val="32"/>
          <w:lang w:val="en-US" w:eastAsia="zh-CN"/>
        </w:rPr>
        <w:t>80</w:t>
      </w:r>
      <w:r>
        <w:rPr>
          <w:rStyle w:val="10"/>
          <w:rFonts w:ascii="仿宋" w:hAnsi="仿宋" w:eastAsia="仿宋"/>
          <w:sz w:val="32"/>
          <w:szCs w:val="32"/>
        </w:rPr>
        <w:t>万元;节能环保支出6万元,较上年预算安排增加</w:t>
      </w:r>
      <w:r>
        <w:rPr>
          <w:rStyle w:val="10"/>
          <w:rFonts w:hint="eastAsia" w:ascii="仿宋" w:hAnsi="仿宋" w:eastAsia="仿宋"/>
          <w:sz w:val="32"/>
          <w:szCs w:val="32"/>
          <w:lang w:val="en-US" w:eastAsia="zh-CN"/>
        </w:rPr>
        <w:t>6</w:t>
      </w:r>
      <w:r>
        <w:rPr>
          <w:rStyle w:val="10"/>
          <w:rFonts w:ascii="仿宋" w:hAnsi="仿宋" w:eastAsia="仿宋"/>
          <w:sz w:val="32"/>
          <w:szCs w:val="32"/>
        </w:rPr>
        <w:t>万元;住房保障支出100万元,较上年预算安排增加</w:t>
      </w:r>
      <w:r>
        <w:rPr>
          <w:rStyle w:val="10"/>
          <w:rFonts w:hint="eastAsia" w:ascii="仿宋" w:hAnsi="仿宋" w:eastAsia="仿宋"/>
          <w:sz w:val="32"/>
          <w:szCs w:val="32"/>
          <w:lang w:val="en-US" w:eastAsia="zh-CN"/>
        </w:rPr>
        <w:t>61.7</w:t>
      </w:r>
      <w:r>
        <w:rPr>
          <w:rStyle w:val="10"/>
          <w:rFonts w:ascii="仿宋" w:hAnsi="仿宋" w:eastAsia="仿宋"/>
          <w:sz w:val="32"/>
          <w:szCs w:val="32"/>
        </w:rPr>
        <w:t>万元。</w:t>
      </w:r>
      <w:r>
        <w:fldChar w:fldCharType="end"/>
      </w:r>
    </w:p>
    <w:p>
      <w:pPr>
        <w:ind w:firstLine="640" w:firstLineChars="200"/>
        <w:rPr>
          <w:rStyle w:val="10"/>
          <w:rFonts w:ascii="仿宋" w:hAnsi="仿宋" w:eastAsia="仿宋"/>
          <w:b/>
          <w:sz w:val="32"/>
          <w:szCs w:val="32"/>
        </w:rPr>
      </w:pPr>
      <w:r>
        <w:rPr>
          <w:rStyle w:val="10"/>
          <w:rFonts w:hint="eastAsia" w:ascii="仿宋" w:hAnsi="仿宋" w:eastAsia="仿宋"/>
          <w:sz w:val="32"/>
          <w:szCs w:val="32"/>
        </w:rPr>
        <w:t>按支出经济分类划分：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${page400644146.ds247441498_REP_BGT_T_HC1100002019DXQ01_JJMX}</w:instrText>
      </w:r>
      <w:r>
        <w:rPr>
          <w:rStyle w:val="10"/>
          <w:rFonts w:ascii="仿宋" w:hAnsi="仿宋" w:eastAsia="仿宋"/>
          <w:sz w:val="32"/>
          <w:szCs w:val="32"/>
        </w:rPr>
        <w:fldChar w:fldCharType="separate"/>
      </w:r>
      <w:r>
        <w:rPr>
          <w:rStyle w:val="10"/>
          <w:rFonts w:ascii="仿宋" w:hAnsi="仿宋" w:eastAsia="仿宋"/>
          <w:sz w:val="32"/>
          <w:szCs w:val="32"/>
        </w:rPr>
        <w:t>工资福利支出11378.05万元,较上年预算安排减少</w:t>
      </w:r>
      <w:r>
        <w:rPr>
          <w:rStyle w:val="10"/>
          <w:rFonts w:hint="eastAsia" w:ascii="仿宋" w:hAnsi="仿宋" w:eastAsia="仿宋"/>
          <w:sz w:val="32"/>
          <w:szCs w:val="32"/>
          <w:lang w:val="en-US" w:eastAsia="zh-CN"/>
        </w:rPr>
        <w:t>4.05</w:t>
      </w:r>
      <w:r>
        <w:rPr>
          <w:rStyle w:val="10"/>
          <w:rFonts w:ascii="仿宋" w:hAnsi="仿宋" w:eastAsia="仿宋"/>
          <w:sz w:val="32"/>
          <w:szCs w:val="32"/>
        </w:rPr>
        <w:t>万元;商品和服务支出4224.95万元,较上年预算安排减少</w:t>
      </w:r>
      <w:r>
        <w:rPr>
          <w:rStyle w:val="10"/>
          <w:rFonts w:hint="eastAsia" w:ascii="仿宋" w:hAnsi="仿宋" w:eastAsia="仿宋"/>
          <w:sz w:val="32"/>
          <w:szCs w:val="32"/>
          <w:lang w:val="en-US" w:eastAsia="zh-CN"/>
        </w:rPr>
        <w:t>209.14</w:t>
      </w:r>
      <w:r>
        <w:rPr>
          <w:rStyle w:val="10"/>
          <w:rFonts w:ascii="仿宋" w:hAnsi="仿宋" w:eastAsia="仿宋"/>
          <w:sz w:val="32"/>
          <w:szCs w:val="32"/>
        </w:rPr>
        <w:t>万元;对个人和家庭的补助1262.95万元,较上年预算安排增加</w:t>
      </w:r>
      <w:r>
        <w:rPr>
          <w:rStyle w:val="10"/>
          <w:rFonts w:hint="eastAsia" w:ascii="仿宋" w:hAnsi="仿宋" w:eastAsia="仿宋"/>
          <w:sz w:val="32"/>
          <w:szCs w:val="32"/>
          <w:lang w:val="en-US" w:eastAsia="zh-CN"/>
        </w:rPr>
        <w:t>102.13</w:t>
      </w:r>
      <w:r>
        <w:rPr>
          <w:rStyle w:val="10"/>
          <w:rFonts w:ascii="仿宋" w:hAnsi="仿宋" w:eastAsia="仿宋"/>
          <w:sz w:val="32"/>
          <w:szCs w:val="32"/>
        </w:rPr>
        <w:t>万元;资本性支出1610.07万元,较上年预算安排减少</w:t>
      </w:r>
      <w:r>
        <w:rPr>
          <w:rStyle w:val="10"/>
          <w:rFonts w:hint="eastAsia" w:ascii="仿宋" w:hAnsi="仿宋" w:eastAsia="仿宋"/>
          <w:sz w:val="32"/>
          <w:szCs w:val="32"/>
          <w:lang w:val="en-US" w:eastAsia="zh-CN"/>
        </w:rPr>
        <w:t>122.97</w:t>
      </w:r>
      <w:r>
        <w:rPr>
          <w:rStyle w:val="10"/>
          <w:rFonts w:ascii="仿宋" w:hAnsi="仿宋" w:eastAsia="仿宋"/>
          <w:sz w:val="32"/>
          <w:szCs w:val="32"/>
        </w:rPr>
        <w:t>万元;其他支出360.2万元,较上年预算安排增加</w:t>
      </w:r>
      <w:r>
        <w:rPr>
          <w:rStyle w:val="10"/>
          <w:rFonts w:hint="eastAsia" w:ascii="仿宋" w:hAnsi="仿宋" w:eastAsia="仿宋"/>
          <w:sz w:val="32"/>
          <w:szCs w:val="32"/>
          <w:lang w:val="en-US" w:eastAsia="zh-CN"/>
        </w:rPr>
        <w:t>360.2</w:t>
      </w:r>
      <w:r>
        <w:rPr>
          <w:rStyle w:val="10"/>
          <w:rFonts w:ascii="仿宋" w:hAnsi="仿宋" w:eastAsia="仿宋"/>
          <w:sz w:val="32"/>
          <w:szCs w:val="32"/>
        </w:rPr>
        <w:t>万元。</w:t>
      </w:r>
      <w:r>
        <w:fldChar w:fldCharType="end"/>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pPr>
        <w:ind w:firstLine="640" w:firstLineChars="200"/>
        <w:rPr>
          <w:rStyle w:val="10"/>
          <w:rFonts w:ascii="仿宋" w:hAnsi="仿宋" w:eastAsia="仿宋"/>
          <w:sz w:val="32"/>
          <w:szCs w:val="32"/>
        </w:rPr>
      </w:pPr>
      <w:r>
        <w:rPr>
          <w:rStyle w:val="10"/>
          <w:rFonts w:hint="eastAsia" w:ascii="仿宋" w:hAnsi="仿宋" w:eastAsia="仿宋"/>
          <w:sz w:val="32"/>
          <w:szCs w:val="32"/>
        </w:rPr>
        <w:t>2</w:t>
      </w:r>
      <w:r>
        <w:rPr>
          <w:rStyle w:val="10"/>
          <w:rFonts w:ascii="仿宋" w:hAnsi="仿宋" w:eastAsia="仿宋"/>
          <w:sz w:val="32"/>
          <w:szCs w:val="32"/>
        </w:rPr>
        <w:t>022</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${page400644146.ds215660413_REP_JXJC_AGENCY_WZR_NAME}</w:instrText>
      </w:r>
      <w:r>
        <w:rPr>
          <w:rStyle w:val="10"/>
          <w:rFonts w:ascii="仿宋" w:hAnsi="仿宋" w:eastAsia="仿宋"/>
          <w:sz w:val="32"/>
          <w:szCs w:val="32"/>
        </w:rPr>
        <w:fldChar w:fldCharType="separate"/>
      </w:r>
      <w:r>
        <w:rPr>
          <w:rStyle w:val="10"/>
          <w:rFonts w:ascii="仿宋" w:hAnsi="仿宋" w:eastAsia="仿宋"/>
          <w:sz w:val="32"/>
          <w:szCs w:val="32"/>
        </w:rPr>
        <w:t>江西经济管理干部学院</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财政拨款支出预算总额9693.44万元,较上年预算安排增加</w:t>
      </w:r>
      <w:r>
        <w:rPr>
          <w:rStyle w:val="10"/>
          <w:rFonts w:hint="eastAsia" w:ascii="仿宋" w:hAnsi="仿宋" w:eastAsia="仿宋"/>
          <w:sz w:val="32"/>
          <w:szCs w:val="32"/>
          <w:lang w:val="en-US" w:eastAsia="zh-CN"/>
        </w:rPr>
        <w:t>152.84</w:t>
      </w:r>
      <w:r>
        <w:rPr>
          <w:rStyle w:val="10"/>
          <w:rFonts w:ascii="仿宋" w:hAnsi="仿宋" w:eastAsia="仿宋"/>
          <w:sz w:val="32"/>
          <w:szCs w:val="32"/>
        </w:rPr>
        <w:t>万元;</w:t>
      </w:r>
      <w:r>
        <w:fldChar w:fldCharType="end"/>
      </w:r>
    </w:p>
    <w:p>
      <w:pPr>
        <w:ind w:firstLine="640" w:firstLineChars="200"/>
        <w:rPr>
          <w:rStyle w:val="10"/>
          <w:rFonts w:ascii="仿宋" w:hAnsi="仿宋" w:eastAsia="仿宋"/>
          <w:sz w:val="32"/>
          <w:szCs w:val="32"/>
        </w:rPr>
      </w:pPr>
      <w:r>
        <w:rPr>
          <w:rStyle w:val="10"/>
          <w:rFonts w:hint="eastAsia" w:ascii="仿宋" w:hAnsi="仿宋" w:eastAsia="仿宋"/>
          <w:sz w:val="32"/>
          <w:szCs w:val="32"/>
        </w:rPr>
        <w:t>按支出功能科目划分：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${page400644146.ds247441498_REP_BGT_T_HC1100002019DXQ01_GNCBMX}</w:instrText>
      </w:r>
      <w:r>
        <w:rPr>
          <w:rStyle w:val="10"/>
          <w:rFonts w:ascii="仿宋" w:hAnsi="仿宋" w:eastAsia="仿宋"/>
          <w:sz w:val="32"/>
          <w:szCs w:val="32"/>
        </w:rPr>
        <w:fldChar w:fldCharType="separate"/>
      </w:r>
      <w:r>
        <w:rPr>
          <w:rStyle w:val="10"/>
          <w:rFonts w:ascii="仿宋" w:hAnsi="仿宋" w:eastAsia="仿宋"/>
          <w:sz w:val="32"/>
          <w:szCs w:val="32"/>
        </w:rPr>
        <w:t>教育支出9655.14万元,住房保障支出38.3万元。</w:t>
      </w:r>
      <w:r>
        <w:fldChar w:fldCharType="end"/>
      </w:r>
    </w:p>
    <w:p>
      <w:pPr>
        <w:ind w:firstLine="640" w:firstLineChars="200"/>
        <w:rPr>
          <w:rStyle w:val="10"/>
          <w:rFonts w:ascii="仿宋" w:hAnsi="仿宋" w:eastAsia="仿宋"/>
          <w:sz w:val="32"/>
          <w:szCs w:val="32"/>
        </w:rPr>
      </w:pPr>
      <w:r>
        <w:rPr>
          <w:rStyle w:val="10"/>
          <w:rFonts w:hint="eastAsia" w:ascii="仿宋" w:hAnsi="仿宋" w:eastAsia="仿宋"/>
          <w:sz w:val="32"/>
          <w:szCs w:val="32"/>
        </w:rPr>
        <w:t>按支出项目类别划分：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${page400644146.ds215660413_REP_BGT_T_HC1100002019_DXQ02_JBZCQKCB}</w:instrText>
      </w:r>
      <w:r>
        <w:rPr>
          <w:rStyle w:val="10"/>
          <w:rFonts w:ascii="仿宋" w:hAnsi="仿宋" w:eastAsia="仿宋"/>
          <w:sz w:val="32"/>
          <w:szCs w:val="32"/>
        </w:rPr>
        <w:fldChar w:fldCharType="separate"/>
      </w:r>
      <w:r>
        <w:rPr>
          <w:rStyle w:val="10"/>
          <w:rFonts w:ascii="仿宋" w:hAnsi="仿宋" w:eastAsia="仿宋"/>
          <w:sz w:val="32"/>
          <w:szCs w:val="32"/>
        </w:rPr>
        <w:t>基本支出9223.6万元,较上年预算安排减少</w:t>
      </w:r>
      <w:r>
        <w:rPr>
          <w:rStyle w:val="10"/>
          <w:rFonts w:hint="eastAsia" w:ascii="仿宋" w:hAnsi="仿宋" w:eastAsia="仿宋"/>
          <w:sz w:val="32"/>
          <w:szCs w:val="32"/>
          <w:lang w:val="en-US" w:eastAsia="zh-CN"/>
        </w:rPr>
        <w:t>317</w:t>
      </w:r>
      <w:r>
        <w:rPr>
          <w:rStyle w:val="10"/>
          <w:rFonts w:ascii="仿宋" w:hAnsi="仿宋" w:eastAsia="仿宋"/>
          <w:sz w:val="32"/>
          <w:szCs w:val="32"/>
        </w:rPr>
        <w:t>万元;其中：工资福利支出8431万元,商品和服务支出792.6万元。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${page400644146.ds215660413_REP_BGT_T_HC1100002019_DXQ02_XMZCQKCB}</w:instrText>
      </w:r>
      <w:r>
        <w:rPr>
          <w:rStyle w:val="10"/>
          <w:rFonts w:ascii="仿宋" w:hAnsi="仿宋" w:eastAsia="仿宋"/>
          <w:sz w:val="32"/>
          <w:szCs w:val="32"/>
        </w:rPr>
        <w:fldChar w:fldCharType="separate"/>
      </w:r>
      <w:r>
        <w:rPr>
          <w:rStyle w:val="10"/>
          <w:rFonts w:ascii="仿宋" w:hAnsi="仿宋" w:eastAsia="仿宋"/>
          <w:sz w:val="32"/>
          <w:szCs w:val="32"/>
        </w:rPr>
        <w:t>项目支出469.84万元,较上年预算安排增加</w:t>
      </w:r>
      <w:r>
        <w:rPr>
          <w:rStyle w:val="10"/>
          <w:rFonts w:hint="eastAsia" w:ascii="仿宋" w:hAnsi="仿宋" w:eastAsia="仿宋"/>
          <w:sz w:val="32"/>
          <w:szCs w:val="32"/>
          <w:lang w:val="en-US" w:eastAsia="zh-CN"/>
        </w:rPr>
        <w:t>469.84</w:t>
      </w:r>
      <w:r>
        <w:rPr>
          <w:rStyle w:val="10"/>
          <w:rFonts w:ascii="仿宋" w:hAnsi="仿宋" w:eastAsia="仿宋"/>
          <w:sz w:val="32"/>
          <w:szCs w:val="32"/>
        </w:rPr>
        <w:t>万元;其中：对个人和家庭的补助469.84万元。</w:t>
      </w:r>
      <w:r>
        <w:fldChar w:fldCharType="end"/>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pPr>
        <w:ind w:firstLine="640" w:firstLineChars="200"/>
        <w:rPr>
          <w:rStyle w:val="10"/>
          <w:rFonts w:hint="eastAsia" w:ascii="仿宋" w:hAnsi="仿宋" w:eastAsia="仿宋"/>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022</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${page400644146.ds509943833_REP_JXJC_AGENCY_WZR_NAME}</w:instrText>
      </w:r>
      <w:r>
        <w:rPr>
          <w:rStyle w:val="10"/>
          <w:rFonts w:ascii="仿宋" w:hAnsi="仿宋" w:eastAsia="仿宋"/>
          <w:sz w:val="32"/>
          <w:szCs w:val="32"/>
        </w:rPr>
        <w:fldChar w:fldCharType="separate"/>
      </w:r>
      <w:r>
        <w:rPr>
          <w:rStyle w:val="10"/>
          <w:rFonts w:ascii="仿宋" w:hAnsi="仿宋" w:eastAsia="仿宋"/>
          <w:sz w:val="32"/>
          <w:szCs w:val="32"/>
        </w:rPr>
        <w:t>江西经济管理干部学院</w:t>
      </w:r>
      <w:r>
        <w:fldChar w:fldCharType="end"/>
      </w:r>
      <w:r>
        <w:rPr>
          <w:rStyle w:val="10"/>
          <w:rFonts w:hint="eastAsia" w:ascii="仿宋" w:hAnsi="仿宋" w:eastAsia="仿宋"/>
          <w:sz w:val="32"/>
          <w:szCs w:val="32"/>
        </w:rPr>
        <w:t>没有使用政府性基金预算拨款安排的支出</w:t>
      </w:r>
      <w:r>
        <w:rPr>
          <w:rStyle w:val="10"/>
          <w:rFonts w:hint="eastAsia" w:ascii="仿宋" w:hAnsi="仿宋" w:eastAsia="仿宋"/>
          <w:sz w:val="32"/>
          <w:szCs w:val="32"/>
          <w:lang w:eastAsia="zh-CN"/>
        </w:rPr>
        <w:t>。</w:t>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（五）国有资本经营情况</w:t>
      </w:r>
    </w:p>
    <w:p>
      <w:pPr>
        <w:ind w:firstLine="640" w:firstLineChars="200"/>
        <w:rPr>
          <w:rStyle w:val="10"/>
          <w:rFonts w:hint="eastAsia" w:ascii="仿宋" w:hAnsi="仿宋" w:eastAsia="仿宋"/>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022</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${page400644146.ds509943833_REP_JXJC_AGENCY_WZR_NAME}</w:instrText>
      </w:r>
      <w:r>
        <w:rPr>
          <w:rStyle w:val="10"/>
          <w:rFonts w:ascii="仿宋" w:hAnsi="仿宋" w:eastAsia="仿宋"/>
          <w:sz w:val="32"/>
          <w:szCs w:val="32"/>
        </w:rPr>
        <w:fldChar w:fldCharType="separate"/>
      </w:r>
      <w:r>
        <w:rPr>
          <w:rStyle w:val="10"/>
          <w:rFonts w:ascii="仿宋" w:hAnsi="仿宋" w:eastAsia="仿宋"/>
          <w:sz w:val="32"/>
          <w:szCs w:val="32"/>
        </w:rPr>
        <w:t>江西经济管理干部学院</w:t>
      </w:r>
      <w:r>
        <w:fldChar w:fldCharType="end"/>
      </w:r>
      <w:r>
        <w:rPr>
          <w:rStyle w:val="10"/>
          <w:rFonts w:hint="eastAsia" w:ascii="仿宋" w:hAnsi="仿宋" w:eastAsia="仿宋"/>
          <w:sz w:val="32"/>
          <w:szCs w:val="32"/>
        </w:rPr>
        <w:t>没有使用国有资本经营预算拨款安排的支出</w:t>
      </w:r>
      <w:r>
        <w:rPr>
          <w:rStyle w:val="10"/>
          <w:rFonts w:hint="eastAsia" w:ascii="仿宋" w:hAnsi="仿宋" w:eastAsia="仿宋"/>
          <w:sz w:val="32"/>
          <w:szCs w:val="32"/>
          <w:lang w:eastAsia="zh-CN"/>
        </w:rPr>
        <w:t>。</w:t>
      </w:r>
    </w:p>
    <w:p>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pPr>
        <w:widowControl/>
        <w:spacing w:line="580" w:lineRule="exact"/>
        <w:ind w:firstLine="636"/>
        <w:jc w:val="left"/>
        <w:rPr>
          <w:rFonts w:hint="eastAsia" w:ascii="Adobe 仿宋 Std R" w:hAnsi="Adobe 仿宋 Std R" w:eastAsia="Adobe 仿宋 Std R"/>
          <w:sz w:val="32"/>
          <w:szCs w:val="32"/>
          <w:lang w:eastAsia="zh-CN"/>
        </w:rPr>
      </w:pPr>
      <w:r>
        <w:rPr>
          <w:rStyle w:val="10"/>
          <w:rFonts w:hint="eastAsia" w:ascii="Adobe 仿宋 Std R" w:hAnsi="Adobe 仿宋 Std R" w:eastAsia="Adobe 仿宋 Std R"/>
          <w:sz w:val="32"/>
          <w:szCs w:val="32"/>
        </w:rPr>
        <w:t>本单位属非行政和参照公务员法管理的事业单位，无机关运行经费</w:t>
      </w:r>
      <w:r>
        <w:rPr>
          <w:rStyle w:val="10"/>
          <w:rFonts w:hint="eastAsia" w:ascii="Adobe 仿宋 Std R" w:hAnsi="Adobe 仿宋 Std R" w:eastAsia="Adobe 仿宋 Std R"/>
          <w:sz w:val="32"/>
          <w:szCs w:val="32"/>
          <w:lang w:eastAsia="zh-CN"/>
        </w:rPr>
        <w:t>。</w:t>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pPr>
        <w:rPr>
          <w:sz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2022年部门所属各单位政府采购总额</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${page400644146.ds162027011_REP_3600_BGT_GOVPUR_DXQ_PUR_AMT}</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2658.27</w:t>
      </w:r>
      <w:r>
        <w:fldChar w:fldCharType="end"/>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${page400644146.ds162027011_REP_3600_BGT_GOVPUR_DXQ_CGHW}</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1664.07</w:t>
      </w:r>
      <w:r>
        <w:fldChar w:fldCharType="end"/>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${page400644146.ds162027011_REP_3600_BGT_GOVPUR_DXQ_CGGC}</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130</w:t>
      </w:r>
      <w:r>
        <w:fldChar w:fldCharType="end"/>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${page400644146.ds162027011_REP_3600_BGT_GOVPUR_DXQ_CGFW}</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864.2</w:t>
      </w:r>
      <w:r>
        <w:fldChar w:fldCharType="end"/>
      </w:r>
      <w:r>
        <w:rPr>
          <w:rFonts w:hint="eastAsia" w:ascii="Adobe 仿宋 Std R" w:hAnsi="Adobe 仿宋 Std R" w:eastAsia="Adobe 仿宋 Std R"/>
          <w:sz w:val="32"/>
          <w:szCs w:val="32"/>
        </w:rPr>
        <w:t>万元。</w:t>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截至2021年8月31日,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部门共有车辆12辆,其中：一般公务用车实有数12辆。</w:t>
      </w:r>
      <w:r>
        <w:fldChar w:fldCharType="end"/>
      </w:r>
    </w:p>
    <w:p>
      <w:pPr>
        <w:ind w:firstLine="642"/>
        <w:rPr>
          <w:rFonts w:ascii="仿宋_GB2312" w:eastAsia="仿宋_GB2312"/>
          <w:sz w:val="32"/>
          <w:szCs w:val="30"/>
          <w:u w:val="none"/>
        </w:rPr>
      </w:pPr>
      <w:r>
        <w:rPr>
          <w:rFonts w:hint="eastAsia" w:ascii="Adobe 仿宋 Std R" w:hAnsi="Adobe 仿宋 Std R" w:eastAsia="Adobe 仿宋 Std R"/>
          <w:sz w:val="32"/>
          <w:szCs w:val="32"/>
        </w:rPr>
        <w:t>2022年部门预算安排购置车辆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none"/>
          <w:lang w:val="en-US" w:eastAsia="zh-CN"/>
        </w:rPr>
        <w:t>无</w:t>
      </w:r>
      <w:r>
        <w:rPr>
          <w:rFonts w:hint="eastAsia" w:ascii="仿宋_GB2312" w:eastAsia="仿宋_GB2312"/>
          <w:sz w:val="32"/>
          <w:szCs w:val="30"/>
          <w:u w:val="none"/>
        </w:rPr>
        <w:t>。</w:t>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（九）其他学院正常运转维护支出项目情况说明</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1.其他学院正常运转维护支出项目</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根据学院发展需要，我院承担省委省政府领导干部的培训任务。为更好的完成工作任务，我院委托中介对学院的酒店进行管理，每年需支付相应的委托管理费。同时为满足学院正常教学及办公需要，学院每年需支付正常运行所需承担的水、电、物业管理费以及正常办公设备的购置。</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：学院党政工作要点和任务分工。</w:t>
      </w:r>
    </w:p>
    <w:p>
      <w:pPr>
        <w:ind w:firstLine="642"/>
        <w:rPr>
          <w:rFonts w:hint="eastAsia" w:ascii="Adobe 仿宋 Std R" w:hAnsi="Adobe 仿宋 Std R" w:eastAsiaTheme="minorEastAsia"/>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ascii="仿宋" w:hAnsi="仿宋" w:eastAsia="仿宋"/>
          <w:bCs/>
          <w:sz w:val="32"/>
          <w:szCs w:val="32"/>
        </w:rPr>
        <w:t>江西经济管理干部学院</w:t>
      </w:r>
      <w:r>
        <w:fldChar w:fldCharType="end"/>
      </w:r>
      <w:r>
        <w:rPr>
          <w:rFonts w:hint="eastAsia"/>
          <w:lang w:eastAsia="zh-CN"/>
        </w:rPr>
        <w:t>。</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：学院正常运转经费相关合同。</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：一年。</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：2017.63万元。</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7）绩效目标和指标</w:t>
      </w:r>
      <w:r>
        <w:rPr>
          <w:rFonts w:hint="eastAsia" w:ascii="Adobe 仿宋 Std R" w:hAnsi="Adobe 仿宋 Std R" w:eastAsia="Adobe 仿宋 Std R"/>
          <w:sz w:val="32"/>
          <w:szCs w:val="32"/>
          <w:lang w:eastAsia="zh-CN"/>
        </w:rPr>
        <w:t>：</w:t>
      </w:r>
    </w:p>
    <w:tbl>
      <w:tblPr>
        <w:tblStyle w:val="4"/>
        <w:tblW w:w="9083" w:type="dxa"/>
        <w:tblInd w:w="0" w:type="dxa"/>
        <w:shd w:val="clear" w:color="auto" w:fill="auto"/>
        <w:tblLayout w:type="autofit"/>
        <w:tblCellMar>
          <w:top w:w="0" w:type="dxa"/>
          <w:left w:w="0" w:type="dxa"/>
          <w:bottom w:w="0" w:type="dxa"/>
          <w:right w:w="0" w:type="dxa"/>
        </w:tblCellMar>
      </w:tblPr>
      <w:tblGrid>
        <w:gridCol w:w="1273"/>
        <w:gridCol w:w="1695"/>
        <w:gridCol w:w="3323"/>
        <w:gridCol w:w="2792"/>
      </w:tblGrid>
      <w:tr>
        <w:tblPrEx>
          <w:shd w:val="clear" w:color="auto" w:fill="auto"/>
          <w:tblCellMar>
            <w:top w:w="0" w:type="dxa"/>
            <w:left w:w="0" w:type="dxa"/>
            <w:bottom w:w="0" w:type="dxa"/>
            <w:right w:w="0" w:type="dxa"/>
          </w:tblCellMar>
        </w:tblPrEx>
        <w:trPr>
          <w:trHeight w:val="402"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tblCellMar>
            <w:top w:w="0" w:type="dxa"/>
            <w:left w:w="0" w:type="dxa"/>
            <w:bottom w:w="0" w:type="dxa"/>
            <w:right w:w="0" w:type="dxa"/>
          </w:tblCellMar>
        </w:tblPrEx>
        <w:trPr>
          <w:trHeight w:val="30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招生任务</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&gt;=2000人</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学院在校人数</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&gt;=5000人</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后勤服务完成度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保安服务时效</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2022年9月-2024年8月</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厉行节约，压缩公用经费</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30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学生欠费率</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&lt;=2%</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安全事故数</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=0件件</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就业率</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&gt;=80%</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学院环境建设</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提升校园环境</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服务周期</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服务期满</w:t>
            </w:r>
          </w:p>
        </w:tc>
      </w:tr>
      <w:tr>
        <w:tblPrEx>
          <w:tblCellMar>
            <w:top w:w="0" w:type="dxa"/>
            <w:left w:w="0" w:type="dxa"/>
            <w:bottom w:w="0" w:type="dxa"/>
            <w:right w:w="0" w:type="dxa"/>
          </w:tblCellMar>
        </w:tblPrEx>
        <w:trPr>
          <w:trHeight w:val="30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学生满意度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&gt;=90%</w:t>
            </w:r>
          </w:p>
        </w:tc>
      </w:tr>
      <w:tr>
        <w:tblPrEx>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教职工满意度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&gt;=90%</w:t>
            </w:r>
          </w:p>
        </w:tc>
      </w:tr>
    </w:tbl>
    <w:p>
      <w:pPr>
        <w:ind w:firstLine="642"/>
        <w:rPr>
          <w:rFonts w:hint="eastAsia" w:ascii="Adobe 仿宋 Std R" w:hAnsi="Adobe 仿宋 Std R" w:eastAsia="Adobe 仿宋 Std R"/>
          <w:sz w:val="32"/>
          <w:szCs w:val="32"/>
          <w:lang w:eastAsia="zh-CN"/>
        </w:rPr>
      </w:pPr>
    </w:p>
    <w:p>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ascii="仿宋" w:hAnsi="仿宋" w:eastAsia="仿宋"/>
          <w:bCs/>
          <w:sz w:val="32"/>
          <w:szCs w:val="32"/>
        </w:rPr>
        <w:t>江西经济管理干部学院</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${page400644146.ds215660413_REP_BGT_T_HC1100002019_DXQ02_ZCYBSG}</w:instrText>
      </w:r>
      <w:r>
        <w:rPr>
          <w:rFonts w:ascii="仿宋" w:hAnsi="仿宋" w:eastAsia="仿宋"/>
          <w:bCs/>
          <w:sz w:val="32"/>
          <w:szCs w:val="32"/>
        </w:rPr>
        <w:fldChar w:fldCharType="separate"/>
      </w:r>
      <w:r>
        <w:rPr>
          <w:rFonts w:ascii="仿宋" w:hAnsi="仿宋" w:eastAsia="仿宋"/>
          <w:bCs/>
          <w:sz w:val="32"/>
          <w:szCs w:val="32"/>
        </w:rPr>
        <w:t>10</w:t>
      </w:r>
      <w:r>
        <w:fldChar w:fldCharType="end"/>
      </w:r>
      <w:r>
        <w:rPr>
          <w:rFonts w:hint="eastAsia" w:ascii="仿宋" w:hAnsi="仿宋" w:eastAsia="仿宋"/>
          <w:bCs/>
          <w:sz w:val="32"/>
          <w:szCs w:val="32"/>
        </w:rPr>
        <w:t>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w:instrText>
      </w:r>
      <w:r>
        <w:rPr>
          <w:rFonts w:ascii="仿宋" w:hAnsi="仿宋" w:eastAsia="仿宋"/>
          <w:bCs/>
          <w:sz w:val="32"/>
          <w:szCs w:val="32"/>
        </w:rPr>
        <w:fldChar w:fldCharType="separate"/>
      </w:r>
      <w:r>
        <w:rPr>
          <w:rFonts w:ascii="仿宋" w:hAnsi="仿宋" w:eastAsia="仿宋"/>
          <w:bCs/>
          <w:sz w:val="32"/>
          <w:szCs w:val="32"/>
        </w:rPr>
        <w:t>0</w:t>
      </w:r>
      <w:r>
        <w:fldChar w:fldCharType="end"/>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无因公出国（境）计划</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${page400644146.ds215660413_REP_BGT_T_HC1100002019_DXQ02_ZCSGJD}</w:instrText>
      </w:r>
      <w:r>
        <w:rPr>
          <w:rFonts w:ascii="仿宋" w:hAnsi="仿宋" w:eastAsia="仿宋"/>
          <w:bCs/>
          <w:sz w:val="32"/>
          <w:szCs w:val="32"/>
        </w:rPr>
        <w:fldChar w:fldCharType="separate"/>
      </w:r>
      <w:r>
        <w:rPr>
          <w:rFonts w:ascii="仿宋" w:hAnsi="仿宋" w:eastAsia="仿宋"/>
          <w:bCs/>
          <w:sz w:val="32"/>
          <w:szCs w:val="32"/>
        </w:rPr>
        <w:t>0</w:t>
      </w:r>
      <w:r>
        <w:fldChar w:fldCharType="end"/>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未使用财政拨款资金安排</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${page400644146.ds215660413_REP_BGT_T_HC1100002019_DXQ02_ZCSGYX}</w:instrText>
      </w:r>
      <w:r>
        <w:rPr>
          <w:rFonts w:ascii="仿宋" w:hAnsi="仿宋" w:eastAsia="仿宋"/>
          <w:bCs/>
          <w:sz w:val="32"/>
          <w:szCs w:val="32"/>
        </w:rPr>
        <w:fldChar w:fldCharType="separate"/>
      </w:r>
      <w:r>
        <w:rPr>
          <w:rFonts w:ascii="仿宋" w:hAnsi="仿宋" w:eastAsia="仿宋"/>
          <w:bCs/>
          <w:sz w:val="32"/>
          <w:szCs w:val="32"/>
        </w:rPr>
        <w:t>10</w:t>
      </w:r>
      <w:r>
        <w:fldChar w:fldCharType="end"/>
      </w:r>
      <w:r>
        <w:rPr>
          <w:rFonts w:ascii="仿宋" w:hAnsi="仿宋" w:eastAsia="仿宋"/>
          <w:bCs/>
          <w:sz w:val="32"/>
          <w:szCs w:val="32"/>
        </w:rPr>
        <w:t>万元,比上年减</w:t>
      </w:r>
      <w:r>
        <w:rPr>
          <w:rFonts w:hint="eastAsia" w:ascii="仿宋" w:hAnsi="仿宋" w:eastAsia="仿宋"/>
          <w:bCs/>
          <w:sz w:val="32"/>
          <w:szCs w:val="32"/>
          <w:lang w:val="en-US" w:eastAsia="zh-CN"/>
        </w:rPr>
        <w:t>10</w:t>
      </w:r>
      <w:r>
        <w:rPr>
          <w:rFonts w:ascii="仿宋" w:hAnsi="仿宋" w:eastAsia="仿宋"/>
          <w:bCs/>
          <w:sz w:val="32"/>
          <w:szCs w:val="32"/>
        </w:rPr>
        <w:t>万元，主要原因是：</w:t>
      </w:r>
      <w:r>
        <w:rPr>
          <w:rFonts w:hint="eastAsia" w:ascii="仿宋" w:hAnsi="仿宋" w:eastAsia="仿宋"/>
          <w:bCs/>
          <w:sz w:val="32"/>
          <w:szCs w:val="32"/>
        </w:rPr>
        <w:t>厉行节约，落实过紧日子思想</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separate"/>
      </w:r>
      <w:r>
        <w:rPr>
          <w:rFonts w:ascii="仿宋" w:hAnsi="仿宋" w:eastAsia="仿宋"/>
          <w:bCs/>
          <w:sz w:val="32"/>
          <w:szCs w:val="32"/>
        </w:rPr>
        <w:t>0</w:t>
      </w:r>
      <w:r>
        <w:fldChar w:fldCharType="end"/>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无公务用车购置计划</w:t>
      </w:r>
      <w:r>
        <w:rPr>
          <w:rFonts w:ascii="仿宋" w:hAnsi="仿宋" w:eastAsia="仿宋"/>
          <w:bCs/>
          <w:sz w:val="32"/>
          <w:szCs w:val="32"/>
        </w:rPr>
        <w:t>。</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上年结转和结余：填列2021年全部结转和结余的资金数，包括当年结转结余资金和历年滚存结转结余资金。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（一）2050305高等职业教育：反映各部门举办的本科</w:t>
      </w:r>
      <w:r>
        <w:rPr>
          <w:rFonts w:hint="eastAsia" w:ascii="仿宋_GB2312" w:eastAsia="仿宋_GB2312"/>
          <w:color w:val="000000"/>
          <w:sz w:val="32"/>
          <w:szCs w:val="30"/>
          <w:lang w:eastAsia="zh-CN"/>
        </w:rPr>
        <w:t>、</w:t>
      </w:r>
      <w:r>
        <w:rPr>
          <w:rFonts w:hint="eastAsia" w:ascii="仿宋_GB2312" w:eastAsia="仿宋_GB2312"/>
          <w:color w:val="000000"/>
          <w:sz w:val="32"/>
          <w:szCs w:val="30"/>
        </w:rPr>
        <w:t>专科层次职业教育支出</w:t>
      </w:r>
      <w:r>
        <w:rPr>
          <w:rFonts w:hint="eastAsia" w:ascii="仿宋_GB2312" w:eastAsia="仿宋_GB2312"/>
          <w:color w:val="000000"/>
          <w:sz w:val="32"/>
          <w:szCs w:val="30"/>
          <w:lang w:eastAsia="zh-CN"/>
        </w:rPr>
        <w:t>。</w:t>
      </w:r>
      <w:r>
        <w:rPr>
          <w:rFonts w:hint="eastAsia" w:ascii="仿宋_GB2312" w:eastAsia="仿宋_GB2312"/>
          <w:color w:val="000000"/>
          <w:sz w:val="32"/>
          <w:szCs w:val="30"/>
        </w:rPr>
        <w:t>政府各部门对社会组织等举办的本科</w:t>
      </w:r>
      <w:r>
        <w:rPr>
          <w:rFonts w:hint="eastAsia" w:ascii="仿宋_GB2312" w:eastAsia="仿宋_GB2312"/>
          <w:color w:val="000000"/>
          <w:sz w:val="32"/>
          <w:szCs w:val="30"/>
          <w:lang w:eastAsia="zh-CN"/>
        </w:rPr>
        <w:t>、</w:t>
      </w:r>
      <w:r>
        <w:rPr>
          <w:rFonts w:hint="eastAsia" w:ascii="仿宋_GB2312" w:eastAsia="仿宋_GB2312"/>
          <w:color w:val="000000"/>
          <w:sz w:val="32"/>
          <w:szCs w:val="30"/>
        </w:rPr>
        <w:t>专科层次职业院校的资助，如捐赠</w:t>
      </w:r>
      <w:r>
        <w:rPr>
          <w:rFonts w:hint="eastAsia" w:ascii="仿宋_GB2312" w:eastAsia="仿宋_GB2312"/>
          <w:color w:val="000000"/>
          <w:sz w:val="32"/>
          <w:szCs w:val="30"/>
          <w:lang w:eastAsia="zh-CN"/>
        </w:rPr>
        <w:t>、</w:t>
      </w:r>
      <w:r>
        <w:rPr>
          <w:rFonts w:hint="eastAsia" w:ascii="仿宋_GB2312" w:eastAsia="仿宋_GB2312"/>
          <w:color w:val="000000"/>
          <w:sz w:val="32"/>
          <w:szCs w:val="30"/>
        </w:rPr>
        <w:t>补贴等，也在本科目中反映。</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（二）20</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9999其他文化旅游体育与传媒支出：反映除上述项目以外其他用于文化旅游体育与传媒方面的支出。</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（三）</w:t>
      </w:r>
      <w:r>
        <w:rPr>
          <w:rFonts w:hint="eastAsia" w:ascii="仿宋_GB2312" w:eastAsia="仿宋_GB2312"/>
          <w:color w:val="000000"/>
          <w:sz w:val="32"/>
          <w:szCs w:val="30"/>
          <w:lang w:val="en-US" w:eastAsia="zh-CN"/>
        </w:rPr>
        <w:t>2111001</w:t>
      </w:r>
      <w:r>
        <w:rPr>
          <w:rFonts w:hint="eastAsia" w:ascii="仿宋_GB2312" w:eastAsia="仿宋_GB2312"/>
          <w:color w:val="000000"/>
          <w:sz w:val="32"/>
          <w:szCs w:val="30"/>
        </w:rPr>
        <w:t>能源节约利用</w:t>
      </w:r>
      <w:r>
        <w:rPr>
          <w:rFonts w:hint="eastAsia" w:ascii="仿宋_GB2312" w:eastAsia="仿宋_GB2312"/>
          <w:color w:val="000000"/>
          <w:sz w:val="32"/>
          <w:szCs w:val="30"/>
          <w:lang w:eastAsia="zh-CN"/>
        </w:rPr>
        <w:t>：</w:t>
      </w:r>
      <w:r>
        <w:rPr>
          <w:rFonts w:hint="eastAsia" w:ascii="仿宋_GB2312" w:eastAsia="仿宋_GB2312"/>
          <w:color w:val="000000"/>
          <w:sz w:val="32"/>
          <w:szCs w:val="30"/>
        </w:rPr>
        <w:t>反映用于能源节约利用方面的支出。</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（四）2210203购房补贴：反映按房改政策规定，行政事业单位向符合条件职工</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含离退休人员</w:t>
      </w:r>
      <w:r>
        <w:rPr>
          <w:rFonts w:hint="eastAsia" w:ascii="仿宋_GB2312" w:eastAsia="仿宋_GB2312"/>
          <w:color w:val="000000"/>
          <w:sz w:val="32"/>
          <w:szCs w:val="30"/>
          <w:lang w:eastAsia="zh-CN"/>
        </w:rPr>
        <w:t>）</w:t>
      </w:r>
      <w:r>
        <w:rPr>
          <w:rFonts w:hint="eastAsia" w:ascii="仿宋_GB2312" w:eastAsia="仿宋_GB2312"/>
          <w:color w:val="000000"/>
          <w:sz w:val="32"/>
          <w:szCs w:val="30"/>
        </w:rPr>
        <w:t>、军队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含武警</w:t>
      </w:r>
      <w:r>
        <w:rPr>
          <w:rFonts w:hint="eastAsia" w:ascii="仿宋_GB2312" w:eastAsia="仿宋_GB2312"/>
          <w:color w:val="000000"/>
          <w:sz w:val="32"/>
          <w:szCs w:val="30"/>
          <w:lang w:eastAsia="zh-CN"/>
        </w:rPr>
        <w:t>）</w:t>
      </w:r>
      <w:r>
        <w:rPr>
          <w:rFonts w:hint="eastAsia" w:ascii="仿宋_GB2312" w:eastAsia="仿宋_GB2312"/>
          <w:color w:val="000000"/>
          <w:sz w:val="32"/>
          <w:szCs w:val="30"/>
        </w:rPr>
        <w:t>向转役复员离退休人员发放的用于购买住房的补贴。</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（五）30231公务用车运行维护费：反映单位按规定保留的公务用车燃料费、维修费、过桥过路费、保险费、安全奖励费用等支出。</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（六）30212因公出国（境）费用：反映单位公务出国（境）的国际旅费、国外城市间交通费、住宿费、伙食费、培训费、公杂费等支出。</w:t>
      </w:r>
    </w:p>
    <w:p>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（七）30217公务接待费：反映单位按规定开支的各类公务接待（含外宾接待）费用。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1B2"/>
    <w:rsid w:val="00014049"/>
    <w:rsid w:val="0001648A"/>
    <w:rsid w:val="00022CB3"/>
    <w:rsid w:val="00031749"/>
    <w:rsid w:val="00041EAA"/>
    <w:rsid w:val="00055F20"/>
    <w:rsid w:val="000630BE"/>
    <w:rsid w:val="0006515E"/>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712F3"/>
    <w:rsid w:val="00281E28"/>
    <w:rsid w:val="00283C63"/>
    <w:rsid w:val="00284437"/>
    <w:rsid w:val="002A02B4"/>
    <w:rsid w:val="002A1ED6"/>
    <w:rsid w:val="002A45BD"/>
    <w:rsid w:val="002B0263"/>
    <w:rsid w:val="002B128B"/>
    <w:rsid w:val="002B2D42"/>
    <w:rsid w:val="002C2478"/>
    <w:rsid w:val="002D2681"/>
    <w:rsid w:val="002D418E"/>
    <w:rsid w:val="002D497C"/>
    <w:rsid w:val="0030186C"/>
    <w:rsid w:val="003057A1"/>
    <w:rsid w:val="00316B29"/>
    <w:rsid w:val="0032092A"/>
    <w:rsid w:val="00323750"/>
    <w:rsid w:val="00334A98"/>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31E83"/>
    <w:rsid w:val="00631FA4"/>
    <w:rsid w:val="00650900"/>
    <w:rsid w:val="00655E8B"/>
    <w:rsid w:val="00660CC3"/>
    <w:rsid w:val="006740FD"/>
    <w:rsid w:val="006833F4"/>
    <w:rsid w:val="00687B67"/>
    <w:rsid w:val="006924DA"/>
    <w:rsid w:val="00696646"/>
    <w:rsid w:val="006A1709"/>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6D17"/>
    <w:rsid w:val="008827CA"/>
    <w:rsid w:val="00882C91"/>
    <w:rsid w:val="00884FAE"/>
    <w:rsid w:val="008979F6"/>
    <w:rsid w:val="008A2491"/>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B656D"/>
    <w:rsid w:val="00AB7307"/>
    <w:rsid w:val="00AC370A"/>
    <w:rsid w:val="00AF095D"/>
    <w:rsid w:val="00AF57C9"/>
    <w:rsid w:val="00AF62CD"/>
    <w:rsid w:val="00B128C8"/>
    <w:rsid w:val="00B169A7"/>
    <w:rsid w:val="00B348A8"/>
    <w:rsid w:val="00B619F8"/>
    <w:rsid w:val="00B6242B"/>
    <w:rsid w:val="00B71EBE"/>
    <w:rsid w:val="00B82840"/>
    <w:rsid w:val="00B96CEB"/>
    <w:rsid w:val="00BA572C"/>
    <w:rsid w:val="00BF0316"/>
    <w:rsid w:val="00C03AFB"/>
    <w:rsid w:val="00C35830"/>
    <w:rsid w:val="00C474E4"/>
    <w:rsid w:val="00C61B8F"/>
    <w:rsid w:val="00C644A7"/>
    <w:rsid w:val="00C771B3"/>
    <w:rsid w:val="00C803DA"/>
    <w:rsid w:val="00C82CA3"/>
    <w:rsid w:val="00CB10B2"/>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D15FE"/>
    <w:rsid w:val="00DE2065"/>
    <w:rsid w:val="00DE20E0"/>
    <w:rsid w:val="00DE5904"/>
    <w:rsid w:val="00DE6773"/>
    <w:rsid w:val="00DF2E83"/>
    <w:rsid w:val="00DF43D8"/>
    <w:rsid w:val="00E04E74"/>
    <w:rsid w:val="00E11187"/>
    <w:rsid w:val="00E17B11"/>
    <w:rsid w:val="00E34083"/>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F60EC"/>
    <w:rsid w:val="00FF6368"/>
    <w:rsid w:val="0265235A"/>
    <w:rsid w:val="04C0070D"/>
    <w:rsid w:val="050639B8"/>
    <w:rsid w:val="05482A9E"/>
    <w:rsid w:val="067A6028"/>
    <w:rsid w:val="06EF5026"/>
    <w:rsid w:val="09BC1E7F"/>
    <w:rsid w:val="0B5E56FA"/>
    <w:rsid w:val="0C97247A"/>
    <w:rsid w:val="0DB3098E"/>
    <w:rsid w:val="0F1A6FFC"/>
    <w:rsid w:val="10897B8F"/>
    <w:rsid w:val="112A146F"/>
    <w:rsid w:val="13B4499E"/>
    <w:rsid w:val="14A259FB"/>
    <w:rsid w:val="165F4873"/>
    <w:rsid w:val="18904746"/>
    <w:rsid w:val="1E824BF8"/>
    <w:rsid w:val="206D0602"/>
    <w:rsid w:val="22430342"/>
    <w:rsid w:val="23002C32"/>
    <w:rsid w:val="231D75A5"/>
    <w:rsid w:val="25B931E9"/>
    <w:rsid w:val="27493339"/>
    <w:rsid w:val="280918C7"/>
    <w:rsid w:val="2828673B"/>
    <w:rsid w:val="28A14B6E"/>
    <w:rsid w:val="2A1A5C44"/>
    <w:rsid w:val="2C57797E"/>
    <w:rsid w:val="2C6B7965"/>
    <w:rsid w:val="305E47D2"/>
    <w:rsid w:val="3328400E"/>
    <w:rsid w:val="33427233"/>
    <w:rsid w:val="34263155"/>
    <w:rsid w:val="36A5631D"/>
    <w:rsid w:val="38CC6FF6"/>
    <w:rsid w:val="38E350C6"/>
    <w:rsid w:val="393774AF"/>
    <w:rsid w:val="3A841EE9"/>
    <w:rsid w:val="3A9F1A72"/>
    <w:rsid w:val="3B1858A1"/>
    <w:rsid w:val="3B371513"/>
    <w:rsid w:val="3B7D1841"/>
    <w:rsid w:val="3D1F2B02"/>
    <w:rsid w:val="3EBF65BC"/>
    <w:rsid w:val="3F383632"/>
    <w:rsid w:val="3FAF02ED"/>
    <w:rsid w:val="4052753A"/>
    <w:rsid w:val="43C14962"/>
    <w:rsid w:val="44FF28C4"/>
    <w:rsid w:val="481F43CA"/>
    <w:rsid w:val="48710AA0"/>
    <w:rsid w:val="4A243B52"/>
    <w:rsid w:val="4E802F44"/>
    <w:rsid w:val="51AB0D9C"/>
    <w:rsid w:val="51CB411A"/>
    <w:rsid w:val="51E32A3D"/>
    <w:rsid w:val="52855575"/>
    <w:rsid w:val="53516268"/>
    <w:rsid w:val="53FD7494"/>
    <w:rsid w:val="555B00B5"/>
    <w:rsid w:val="55951728"/>
    <w:rsid w:val="55D3547B"/>
    <w:rsid w:val="56C47F55"/>
    <w:rsid w:val="5B9B0D75"/>
    <w:rsid w:val="5E733E52"/>
    <w:rsid w:val="5F042641"/>
    <w:rsid w:val="613424D4"/>
    <w:rsid w:val="61356F20"/>
    <w:rsid w:val="62A84991"/>
    <w:rsid w:val="63E33020"/>
    <w:rsid w:val="64AB420D"/>
    <w:rsid w:val="658E4860"/>
    <w:rsid w:val="662B4555"/>
    <w:rsid w:val="69AA0034"/>
    <w:rsid w:val="6B5F69CB"/>
    <w:rsid w:val="6BE248E5"/>
    <w:rsid w:val="6CE10161"/>
    <w:rsid w:val="6EDB6140"/>
    <w:rsid w:val="6F0B11FE"/>
    <w:rsid w:val="73A85115"/>
    <w:rsid w:val="73E425D4"/>
    <w:rsid w:val="74092AF9"/>
    <w:rsid w:val="767359DF"/>
    <w:rsid w:val="77AB5CF8"/>
    <w:rsid w:val="77D51FA6"/>
    <w:rsid w:val="7E983F86"/>
    <w:rsid w:val="7FB7473A"/>
    <w:rsid w:val="7FE72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954</Words>
  <Characters>5442</Characters>
  <Lines>45</Lines>
  <Paragraphs>12</Paragraphs>
  <TotalTime>8</TotalTime>
  <ScaleCrop>false</ScaleCrop>
  <LinksUpToDate>false</LinksUpToDate>
  <CharactersWithSpaces>6384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apple</cp:lastModifiedBy>
  <dcterms:modified xsi:type="dcterms:W3CDTF">2022-02-18T04:09:02Z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